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441</w:t>
      </w:r>
    </w:p>
    <w:p>
      <w:r>
        <w:t>Bundesgericht (BGE), 1992-12-28, DE</w:t>
      </w:r>
    </w:p>
    <w:p>
      <w:r>
        <w:rPr>
          <w:b/>
        </w:rPr>
        <w:t xml:space="preserve">Quelle: </w:t>
      </w:r>
      <w:r>
        <w:t>https://mcp.opencaselaw.ch/entscheid/bge_118 II 441</w:t>
      </w:r>
    </w:p>
    <w:p>
      <w:r>
        <w:t>FR: ATF 118 II 441</w:t>
      </w:r>
    </w:p>
    <w:p>
      <w:r>
        <w:t>IT: DTF 118 II 441</w:t>
      </w:r>
    </w:p>
    <w:p>
      <w:pPr>
        <w:pStyle w:val="Heading2"/>
      </w:pPr>
      <w:r>
        <w:t>Regeste</w:t>
      </w:r>
    </w:p>
    <w:p>
      <w:r>
        <w:t>Regeste Landwirtschaftliche Pacht. Zustandekommen des Pachtvertrags; Tod des Pächters, Selbsteintritt des Verpächters (Art. 18 LPG). 1. Der landwirtschaftliche Pachtvertrag kann auch stillschweigend geschlossen werden. Art. 8 ZGB verleiht der beweisbelasteten Partei nur insoweit einen Anspruch, zum Beweis zugelassen zu werden, als ihre Beweisanträge rechtserhebliche Tatsachen betreffen (E. 1). 2. Beim Tod des Pächters geht das Interesse der Hinterbliebenen an einer Weiterführung der Bewirtschaftung der Entscheidungsfreiheit des Verpächters hinsichtlich Auflösung oder Fortführung des Vertrags grundsätzlich vor. Bewerben sich jedoch mehrere Hinterbliebene um den Eintritt in den Pachtvertrag, so kann der Verpächter nach seinem Belieben denjenigen bestimmen, der ihm genehm ist. Ist er zugleich Erbe des verstorbenen Pächters, so kann er sich selbst an die Stelle eines Miterben setzen (E. 2).</w:t>
      </w:r>
    </w:p>
    <w:p>
      <w:pPr>
        <w:pStyle w:val="Heading2"/>
      </w:pPr>
      <w:r>
        <w:t>Erwägungen</w:t>
      </w:r>
    </w:p>
    <w:p>
      <w:r>
        <w:rPr>
          <w:b/>
        </w:rPr>
        <w:t>E. 1</w:t>
      </w:r>
    </w:p>
    <w:p>
      <w:r>
        <w:t>Durch den landwirtschaftlichen Pachtvertrag verpflichtet sich der Verpächter, dem Pächter ein Gewerbe oder ein Grundstück zur landwirtschaftlichen Nutzung zu überlassen, und der Pächter, dafür einen Zins zu bezahlen (Art. 275 Abs. 1 aOR; Art. 4 Abs. 1 LPG ). Der Pachtvertrag kann wie jeder andere nicht formbedürftige Vertrag nicht nur durch ausdrückliche Willensäusserung der Parteien, sondern auch stillschweigend durch schlüssiges Verhalten geschlossen werden. Ein solches Verhalten ist hier, wie vom Kantonsgericht zutreffend erkannt, darin zu erblicken, dass Ernst K. das betreffende Wiesland ungehindert gemäht hat und die Kläger für das weggeführte Heu ein Entgelt entgegengenommen haben. Damit waren die wesentlichen Elemente der landwirtschaftlichen Pacht grundsätzlich erfüllt und das Vertragsverhältnis begründet. Die Kläger werfen der Vorinstanz zwar eine Verletzung von Art. 8 ZGB vor, doch betreffen die Beweisanträge, denen das Kantonsgericht nicht stattgegeben haben soll, von einer Ausnahme abgesehen, keine rechtserheblichen Tatsachen. Der bundesrechtliche Beweisführungsanspruch verleiht der beweisbelasteten Partei aber nur insoweit einen Anspruch darauf, zum Beweis zugelassen zu werden, als ihr Beweisantrag rechtserhebliche Tatsachen betrifft. Die Ausnahme betrifft den Zeitpunkt des Vertragsbeginns. Dieser ist an sich für die Frage entscheidend, bis wann die erste Pachtdauer von sechs Jahren dauerte und auf welchen Termin das Pachtverhältnis folglich kündbar war. Das Kantonsgericht nimmt an, es habe bereits 1982 ein Pachtvertrag vorgelegen, und eine im April 1988 auf das Frühjahr 1989 ausgesprochene Kündigung wäre daher auf jeden Fall verspätet erfolgt. Die Kläger machen in ihrem Eventualstandpunkt demgegenüber geltend, von einem gültigen Vertrag könne erst ab 1983 gesprochen werden. Vorher habe Ernst K. die Bewirtschaftung des Landes nach dem plötzlichen Tod von Armin BGE 118 II 441 S. 444 D. aus reiner Gefälligkeit übernommen. Ein Entgelt habe er erst in einem späteren Zeitpunkt und lediglich auf Betreiben der Vormundschaftsbehörde hin entrichtet. Das Kantonsgericht habe trotz entsprechendem Antrag darauf verzichtet, bezüglich der ersten Zahlung von Fr. 3'000.-- eine Amtsauskunft bei der betreffenden Behörde einzuholen. Die Frage nach dem Vertragsbeginn braucht indessen nicht abschliessend entschieden zu werden, da Berufung und Klage aus einem Grund gutzuheissen sind, bei dem es nicht darauf ankommt, ob der Beginn des Pachtvertrags mit Ernst K. ins Jahr 1982 oder erst ins Jahr 1983 fällt.</w:t>
      </w:r>
    </w:p>
    <w:p>
      <w:r>
        <w:rPr>
          <w:b/>
        </w:rPr>
        <w:t>E. 2</w:t>
      </w:r>
    </w:p>
    <w:p>
      <w:r>
        <w:t>Abgesehen von den Bestimmungen über die Mindestpachtdauer gilt das LPG auch für Pachtverträge, die vor seinem Inkrafttreten am 20. Oktober 1986 geschlossen worden sind ( Art. 60 Abs. 1 LPG ). Soweit das Spezialgesetz nicht anwendbar ist oder keine besonderen Bestimmungen enthält, gilt das OR ( Art. 1 Abs. 4 LPG ). a) Stirbt der Pächter, so treten nach den allgemeinen Regeln des Erbrechts dessen Erben in den Pachtvertrag ein. Da den persönlichen Beziehungen zwischen den Vertragsparteien sowie der Eignung und den Fähigkeiten des Pächters für die Fortsetzung des Vertragsverhältnisses grosse Bedeutung zukommt, sind jedoch sowohl der Verpächter wie auch die Erben des Pächters berechtigt, sich durch Kündigung der vertraglichen Bindung zu entledigen ( Art. 18 Abs. 1 LPG , desgl. Art. 297 aOR). Neu eröffnet Art. 18 Abs. 2 LPG dem Ehegatten oder einem Nachkommen des Pächters im Falle der Kündigung die Möglichkeit, den Eintritt in das Pachtverhältnis zu verlangen. Der Verpächter kann das nur verhindern, wenn der Eintretende keine Gewähr für die ordnungsgemässe Bewirtschaftung bietet oder wenn für ihn die Fortführung der Pacht aus andern Gründen unzumutbar ist ( Art. 18 Abs. 3 LPG ). Grundsätzlich kann der Verpächter jedoch verpflichtet werden, die Pacht mit einer bestimmten Person, nicht aber mit der ganzen Erbengemeinschaft oder mehreren Pächtern, fortzuführen (MANUEL MÜLLER, Die privatrechtlichen Bestimmungen des LPG, in: ZBJV 123/1987 S. 6; CLAUDE PAQUIER-BOINAY, Le contrat de bail à ferme agricole: conclusion et droit de préaffermage, Diss. Lausanne 1991, S. 175 Fn. 56). In diesem Sinne wird das Interesse der Hinterbliebenen des Pächters an einer Weiterführung der Bewirtschaftung vom Gesetzgeber höher eingestuft als die Entscheidungsfreiheit des Verpächters hinsichtlich Auflösung oder Fortführung des Vertrags. b) Die Sicherung der Weiterführung der Bewirtschaftung in der bisherigen Weise tritt jedoch, zumindest im hier gegebenen Fall der BGE 118 II 441 S. 445 Zupacht, in den Hintergrund, wenn mehrere der Hinterbliebenen in den Pachtvertrag eintreten möchten. Diesfalls steht dem Verpächter ein Wahlrecht zu ( Art. 18 Abs. 2 LPG ). Das Gesetz liefert dabei keine weiteren Auswahlkriterien. Der Botschaft vom 11. November 1981 zum LPG ist zu entnehmen, dass der Verpächter in einem solchen Fall den ihm zusagenden Bewerber bezeichnen kann (BBl 1982 I 281; vgl. auch STUDER/HOFER, Le droit du bail à ferme agricole, Brugg 1988, S. 152). Die bundesgerichtliche Rechtsprechung und die Literatur haben sich sonst mit dieser Wahlmöglichkeit bis heute nicht näher befasst. Ist davon auszugehen, dass der Verpächter unter mehreren Bewerbern nach seinem Belieben denjenigen bestimmen kann, der ihm genehm ist, so kommt dem Hoferben in bezug auf die Weiterführung der Pacht keine Vorzugsstellung zu. Ebensowenig sind Gründe ersichtlich, die gegen einen Selbsteintritt des Verpächters sprechen könnten. Das denkbare Gegenargument, der Verpächter verzichte für die Dauer des Pachtvertrags unwiderruflich auf das ihm als Eigentümer zustehende Bewirtschaftungsrecht, sticht nicht. Denn beim Tod des Pächters tritt eine neue rechtliche Situation ein. Räumt dabei das Gesetz dem Verpächter die Möglichkeit ein, einen von mehreren Anwärtern zu bestimmen, so bleibt ihm, sofern er zugleich Erbe des verstorbenen Pächters ist, unbenommen, sich selbst an die Stelle eines anderen, ihm missliebigen Miterben zu setzen. Werden auf diese Weise die Verpächter- und die Pächtereigenschaft in einer Person vereinigt, so fällt der Pachtvertrag dahin ( Art. 118 OR ). c) Zu prüfen bleibt, ob das an die Erbengemeinschaft des verstorbenen Pächters adressierte Schreiben der Verpächter vom 28. April 1989 eine Eintrittserklärung im Sinne von Art. 18 Abs. 2 LPG darstellt. Die Vorinstanz ging auf den Inhalt des Briefes nicht näher ein. Sie schloss vielmehr, es handle sich schon deshalb nicht um eine solche Erklärung, weil das Schreiben nicht an die Verpächter, also die Kläger, gerichtet sei. In der Berufung wird dagegen eingewendet, das Kantonsgericht habe das Schreiben der Kläger zu Unrecht nicht als Erklärung eines Selbsteintritts gewertet. Den Klägern vorzuhalten, sie hätten sich selbst einen Brief schreiben sollen, ist völlig weltfremd. Es gilt vielmehr, das Schreiben vom 28. April 1989 nach dem Vertrauensprinzip auszulegen. Die Kläger erklärten darin zwar nicht ausdrücklich, sie wollten die Wiesen fortan selbst bewirtschaften. Aus den Umständen ergibt sich indessen, dass es ihnen immer nur um die Möglichkeit ging, ihr Land selbst BGE 118 II 441 S. 446 bestellen zu können. Davon ging in seiner Berufungsantwort auch der Beklagte aus. Von einer anderweitigen Verpachtung war nie die Rede. Ging es den Klägern jedoch nur um die Selbstbewirtschaftung ihres Wieslandes und war dies dem Beklagten auch bekannt, so genügt das erwähnte Schreiben den Anforderungen von Art. 18 Abs. 2 LPG . Es ergibt sich somit, dass zufolge gültigen Selbsteintritts der Kläger in den Vertrag mit Ernst K. mit dem Beklagten kein Pachtverhältnis zustandegekommen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